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吉水城投控股发展集团及下属子公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color w:val="auto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2023年第二批招聘报名表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****岗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pStyle w:val="3"/>
        <w:rPr>
          <w:rFonts w:hint="default"/>
        </w:rPr>
        <w:sectPr>
          <w:pgSz w:w="11906" w:h="16838"/>
          <w:pgMar w:top="720" w:right="720" w:bottom="720" w:left="720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后有附件3，请务必填写）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E640CD-F505-4AEA-82E1-9489FFD91A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64AA5E-744A-4CDC-97B6-4DF6CC067E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50DCA5-AC30-401D-BF82-083A5A753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04A71FF3"/>
    <w:rsid w:val="04A71FF3"/>
    <w:rsid w:val="483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674</Characters>
  <Lines>0</Lines>
  <Paragraphs>0</Paragraphs>
  <TotalTime>0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2023-08-25T01:47:00Z</dcterms:created>
  <dc:creator>你算哪块小曲奇</dc:creator>
  <cp:lastModifiedBy>你算哪块小曲奇</cp:lastModifiedBy>
  <dcterms:modified xsi:type="dcterms:W3CDTF">2023-08-25T01:47:34Z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422963FBF9E840579463B57DE49F0DEB_11</vt:lpwstr>
  </property>
</Properties>
</file>