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方正小标宋简体" w:hAnsi="方正小标宋简体" w:eastAsia="方正小标宋简体" w:cs="方正小标宋简体"/>
          <w:shd w:val="clear" w:color="auto" w:fill="FFFFFF"/>
        </w:rPr>
      </w:pPr>
      <w:bookmarkStart w:id="0" w:name="_GoBack"/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</w:t>
      </w: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：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吉州区兴桥镇人民政府招聘岗位及任职要求</w:t>
      </w:r>
    </w:p>
    <w:bookmarkEnd w:id="0"/>
    <w:tbl>
      <w:tblPr>
        <w:tblStyle w:val="5"/>
        <w:tblpPr w:leftFromText="180" w:rightFromText="180" w:vertAnchor="text" w:horzAnchor="page" w:tblpX="2012" w:tblpY="266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52"/>
        <w:gridCol w:w="806"/>
        <w:gridCol w:w="1026"/>
        <w:gridCol w:w="887"/>
        <w:gridCol w:w="806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年龄</w:t>
            </w:r>
          </w:p>
          <w:p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任职要求及</w:t>
            </w:r>
          </w:p>
          <w:p>
            <w:pPr>
              <w:spacing w:line="280" w:lineRule="exact"/>
              <w:jc w:val="center"/>
              <w:rPr>
                <w:rFonts w:hint="default" w:ascii="仿宋_GB2312" w:hAnsi="等线" w:eastAsia="宋体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优先条件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  <w:t>服务中心窗口人员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专及以上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专业不限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  <w:r>
              <w:rPr>
                <w:rFonts w:hint="eastAsia" w:ascii="仿宋_GB2312" w:hAnsi="等线" w:cs="等线"/>
                <w:sz w:val="28"/>
                <w:szCs w:val="28"/>
              </w:rPr>
              <w:t>3</w:t>
            </w: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等线" w:cs="等线"/>
                <w:sz w:val="28"/>
                <w:szCs w:val="28"/>
              </w:rPr>
              <w:t>周岁</w:t>
            </w: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sz w:val="28"/>
                <w:szCs w:val="28"/>
              </w:rPr>
              <w:t>以下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1.熟悉电脑基本操作；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_GB2312" w:hAnsi="等线" w:cs="等线"/>
                <w:sz w:val="28"/>
                <w:szCs w:val="28"/>
                <w:lang w:val="en-US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2.沟通协调能力较强，有亲和力。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等线" w:eastAsia="宋体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720" w:right="720" w:bottom="720" w:left="720" w:header="851" w:footer="1417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2025-01-06T08:55:25Z</dcterms:created>
  <dc:creator>75408</dc:creator>
  <cp:lastModifiedBy>75408</cp:lastModifiedBy>
  <dcterms:modified xsi:type="dcterms:W3CDTF">2025-01-06T08:56:02Z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