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C499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0" w:firstLineChars="0"/>
        <w:jc w:val="center"/>
        <w:textAlignment w:val="auto"/>
        <w:rPr>
          <w:rStyle w:val="10"/>
          <w:rFonts w:hint="eastAsia" w:ascii="方正小标宋简体" w:hAnsi="方正小标宋简体" w:eastAsia="方正小标宋简体" w:cs="方正小标宋简体"/>
          <w:b w:val="0"/>
          <w:bCs/>
          <w:color w:val="auto"/>
          <w:sz w:val="44"/>
          <w:szCs w:val="44"/>
          <w:highlight w:val="none"/>
          <w:lang w:val="en-US" w:eastAsia="zh-CN"/>
        </w:rPr>
      </w:pPr>
      <w:r>
        <w:rPr>
          <w:rStyle w:val="10"/>
          <w:rFonts w:hint="eastAsia" w:ascii="方正小标宋简体" w:hAnsi="方正小标宋简体" w:eastAsia="方正小标宋简体" w:cs="方正小标宋简体"/>
          <w:b w:val="0"/>
          <w:bCs/>
          <w:color w:val="auto"/>
          <w:sz w:val="44"/>
          <w:szCs w:val="44"/>
          <w:highlight w:val="none"/>
          <w:lang w:val="en-US" w:eastAsia="zh-CN"/>
        </w:rPr>
        <w:t>吉安市科技创新股权投资基金管理人遴选项目遴选规则</w:t>
      </w:r>
    </w:p>
    <w:p w14:paraId="7538A36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0" w:firstLineChars="0"/>
        <w:jc w:val="center"/>
        <w:textAlignment w:val="auto"/>
        <w:rPr>
          <w:rStyle w:val="10"/>
          <w:rFonts w:hint="eastAsia" w:ascii="方正小标宋简体" w:hAnsi="方正小标宋简体" w:eastAsia="方正小标宋简体" w:cs="方正小标宋简体"/>
          <w:b w:val="0"/>
          <w:bCs/>
          <w:color w:val="auto"/>
          <w:sz w:val="44"/>
          <w:szCs w:val="44"/>
          <w:highlight w:val="none"/>
          <w:lang w:val="en-US" w:eastAsia="zh-CN"/>
        </w:rPr>
      </w:pPr>
    </w:p>
    <w:p w14:paraId="521972A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黑体" w:hAnsi="黑体" w:eastAsia="黑体" w:cs="黑体"/>
          <w:b w:val="0"/>
          <w:bCs/>
          <w:color w:val="auto"/>
          <w:sz w:val="32"/>
          <w:szCs w:val="32"/>
          <w:highlight w:val="none"/>
        </w:rPr>
      </w:pPr>
      <w:r>
        <w:rPr>
          <w:rStyle w:val="10"/>
          <w:rFonts w:hint="eastAsia" w:ascii="黑体" w:hAnsi="黑体" w:eastAsia="黑体" w:cs="黑体"/>
          <w:b w:val="0"/>
          <w:bCs/>
          <w:color w:val="auto"/>
          <w:sz w:val="32"/>
          <w:szCs w:val="32"/>
          <w:highlight w:val="none"/>
        </w:rPr>
        <w:t>一、遴选标准</w:t>
      </w:r>
    </w:p>
    <w:p w14:paraId="11A337C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3" w:firstLineChars="200"/>
        <w:jc w:val="both"/>
        <w:textAlignment w:val="auto"/>
        <w:rPr>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color w:val="auto"/>
          <w:sz w:val="32"/>
          <w:szCs w:val="32"/>
          <w:highlight w:val="none"/>
        </w:rPr>
        <w:t>（一）符合行业规范</w:t>
      </w:r>
    </w:p>
    <w:p w14:paraId="7726765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1.应在中国证券投资基金业协会登记；</w:t>
      </w:r>
    </w:p>
    <w:p w14:paraId="47F4B4A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2.实缴注册资本应不低于1000万元人民币且与所管理基金规模相匹配；</w:t>
      </w:r>
    </w:p>
    <w:p w14:paraId="54093CE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3.对示范区产业母基金的出资比例不低于基金认缴规模的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%且不低于</w:t>
      </w:r>
      <w:r>
        <w:rPr>
          <w:rFonts w:hint="eastAsia" w:ascii="仿宋_GB2312" w:hAnsi="仿宋_GB2312" w:eastAsia="仿宋_GB2312" w:cs="仿宋_GB2312"/>
          <w:color w:val="auto"/>
          <w:sz w:val="32"/>
          <w:szCs w:val="32"/>
          <w:highlight w:val="none"/>
          <w:lang w:val="en-US" w:eastAsia="zh-CN"/>
        </w:rPr>
        <w:t>300</w:t>
      </w:r>
      <w:r>
        <w:rPr>
          <w:rFonts w:hint="eastAsia" w:ascii="仿宋_GB2312" w:hAnsi="仿宋_GB2312" w:eastAsia="仿宋_GB2312" w:cs="仿宋_GB2312"/>
          <w:color w:val="auto"/>
          <w:sz w:val="32"/>
          <w:szCs w:val="32"/>
          <w:highlight w:val="none"/>
        </w:rPr>
        <w:t>万元。</w:t>
      </w:r>
    </w:p>
    <w:p w14:paraId="7333935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3" w:firstLineChars="200"/>
        <w:jc w:val="both"/>
        <w:textAlignment w:val="auto"/>
        <w:rPr>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color w:val="auto"/>
          <w:sz w:val="32"/>
          <w:szCs w:val="32"/>
          <w:highlight w:val="none"/>
        </w:rPr>
        <w:t>（二）既往业绩良好</w:t>
      </w:r>
    </w:p>
    <w:p w14:paraId="146DAEF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1.有良好的商业信誉和职业操守，管理人及其董事、监事、高级管理人员及其他从业人员在最近3年无重大违法违规记录；</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2.历史投资业绩优良，有较强的募资能力、研究能力、投资管理能力、投后管理能力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内部管理规范、业务流程清晰，具有良好的内部治理结构和风险控制制度，核心管理团队稳定、专业性强；</w:t>
      </w:r>
    </w:p>
    <w:p w14:paraId="1E627CD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3.管理人及关联方对拟合作基金认缴出资额原则上不低于该基金认缴规模的1%；基金管理人在提交基金申报材料时，应至少已募集到拟设立基金总规模</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0%的意向资金（不含科创基金申请出资部分），并提供拟出资人的出资承诺函、意向函等材料；</w:t>
      </w:r>
    </w:p>
    <w:p w14:paraId="0FE1FD4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3" w:firstLineChars="200"/>
        <w:jc w:val="both"/>
        <w:textAlignment w:val="auto"/>
        <w:rPr>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color w:val="auto"/>
          <w:sz w:val="32"/>
          <w:szCs w:val="32"/>
          <w:highlight w:val="none"/>
        </w:rPr>
        <w:t>（三）管理制度规范</w:t>
      </w:r>
    </w:p>
    <w:p w14:paraId="1EBCA85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1.具有专业稳定的团队。机构全职工作人员中至少有5名专门从事投资业务，其中至少3名具备</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年以上股权投资基金管理工作经验，具有良好的职业操守和信誉。有固定的营业场所和与其业务相适应的软硬件设施；</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2.具有健全的公司治理和内控管理体系。有规范的项目遴选机制、投资决策机制、激励约束机制、风险控制机制、财务管理机制等；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3.管理机构及核心管理团队成员无被金融管理部门或司法机关等处罚的不良记录，无严重失信记录。</w:t>
      </w:r>
    </w:p>
    <w:p w14:paraId="03D2F21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0"/>
          <w:rFonts w:hint="eastAsia" w:ascii="黑体" w:hAnsi="黑体" w:eastAsia="黑体" w:cs="黑体"/>
          <w:b w:val="0"/>
          <w:bCs/>
          <w:color w:val="auto"/>
          <w:sz w:val="32"/>
          <w:szCs w:val="32"/>
          <w:highlight w:val="none"/>
          <w:lang w:val="en-US" w:eastAsia="zh-CN"/>
        </w:rPr>
      </w:pPr>
      <w:r>
        <w:rPr>
          <w:rStyle w:val="10"/>
          <w:rFonts w:hint="eastAsia" w:ascii="黑体" w:hAnsi="黑体" w:eastAsia="黑体" w:cs="黑体"/>
          <w:b w:val="0"/>
          <w:bCs/>
          <w:color w:val="auto"/>
          <w:sz w:val="32"/>
          <w:szCs w:val="32"/>
          <w:highlight w:val="none"/>
          <w:lang w:eastAsia="zh-CN"/>
        </w:rPr>
        <w:t>二、</w:t>
      </w:r>
      <w:r>
        <w:rPr>
          <w:rStyle w:val="10"/>
          <w:rFonts w:hint="eastAsia" w:ascii="黑体" w:hAnsi="黑体" w:eastAsia="黑体" w:cs="黑体"/>
          <w:b w:val="0"/>
          <w:bCs/>
          <w:color w:val="auto"/>
          <w:sz w:val="32"/>
          <w:szCs w:val="32"/>
          <w:highlight w:val="none"/>
          <w:lang w:val="en-US" w:eastAsia="zh-CN"/>
        </w:rPr>
        <w:t>基金运作模式</w:t>
      </w:r>
    </w:p>
    <w:p w14:paraId="277B26F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吉安市科创基金组织形式为有限合伙型，注册地址拟定江西省吉安市，拟由遴选的基金管理机构担任基金管理人，负责市科创基金日常运营管理。市科创基金原则上存续期为4+3年，其中投资期4年，退出期3年，可根据实际情况调整。</w:t>
      </w:r>
    </w:p>
    <w:p w14:paraId="1267FE9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1.投资方式</w:t>
      </w:r>
    </w:p>
    <w:p w14:paraId="6F3D66B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吉安市科创基金坚持市场化运作原则进行直接投资，单个项目出资金额原则上不超过基金自身规模的10%，上限不超过3000万元。</w:t>
      </w:r>
    </w:p>
    <w:p w14:paraId="26DF05E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2.返投比例</w:t>
      </w:r>
    </w:p>
    <w:p w14:paraId="2780959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吉安市科创基金投资于吉安注册企业的金额不低于吉安市属工业发展引导基金出资层面实缴出资额的1.5倍。以下情形均可认定为投资我市行政区域内企业的资金：</w:t>
      </w:r>
    </w:p>
    <w:p w14:paraId="17923BF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（1）注册登记在吉安市的企业；</w:t>
      </w:r>
    </w:p>
    <w:p w14:paraId="51D5694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（2）为吉安市引进落地投资法人企业并有实质性经营活动的；</w:t>
      </w:r>
    </w:p>
    <w:p w14:paraId="7F0C5A1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（3）投资的吉安市外企业以股权投资方式投资吉安市内已有企业的；</w:t>
      </w:r>
    </w:p>
    <w:p w14:paraId="738DF07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（4）投资的吉安市外企业通过设立子公司形式将主要生产研发基地落户吉安（子公司资产须不低于基金对该企业的对应投资金额）的；</w:t>
      </w:r>
    </w:p>
    <w:p w14:paraId="7F5D778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（5）基金管理机构在管的其他基金新增投资（或以自有资金投资）吉安市内企业或为吉安市内引进落地的企业；</w:t>
      </w:r>
    </w:p>
    <w:p w14:paraId="0C06948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（6）其他可认定为投资吉安市内企业的。</w:t>
      </w:r>
    </w:p>
    <w:p w14:paraId="7F70528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其中，上述第2种情形按基金对该企业投资金额的1.5倍放大计入投资总额。</w:t>
      </w:r>
    </w:p>
    <w:p w14:paraId="50EDAA6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0"/>
          <w:rFonts w:hint="eastAsia" w:ascii="黑体" w:hAnsi="黑体" w:eastAsia="黑体" w:cs="黑体"/>
          <w:b w:val="0"/>
          <w:bCs/>
          <w:color w:val="auto"/>
          <w:sz w:val="32"/>
          <w:szCs w:val="32"/>
          <w:highlight w:val="none"/>
          <w:lang w:val="en-US" w:eastAsia="zh-CN"/>
        </w:rPr>
      </w:pPr>
      <w:r>
        <w:rPr>
          <w:rStyle w:val="10"/>
          <w:rFonts w:hint="eastAsia" w:ascii="黑体" w:hAnsi="黑体" w:eastAsia="黑体" w:cs="黑体"/>
          <w:b w:val="0"/>
          <w:bCs/>
          <w:color w:val="auto"/>
          <w:sz w:val="32"/>
          <w:szCs w:val="32"/>
          <w:highlight w:val="none"/>
          <w:lang w:val="en-US" w:eastAsia="zh-CN"/>
        </w:rPr>
        <w:t>三、负面清单</w:t>
      </w:r>
    </w:p>
    <w:p w14:paraId="643CF7C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基金不得从事以下业务：</w:t>
      </w:r>
    </w:p>
    <w:p w14:paraId="5284BBF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1.向他人提供贷款、资金、财务资助或担保，进行承担无限连带责任的对外投资，从事融资担保以外的担保、抵押、委托贷款等业务；</w:t>
      </w:r>
    </w:p>
    <w:p w14:paraId="0F0BC0C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直接或间接投资于证券投资基金或从事二级市场公开交易股票、期货、金融衍生品的投资, 但不应包括最初由子基金取得被投资企业股权，后来该被投资企业上市或配售的情形，或者由被投子基金分配而得的股票，或者处置项目投资而作为对价收到的股票和企业债券，以及参与上市公司非公开发行、并购重组或私有化等情形；</w:t>
      </w:r>
    </w:p>
    <w:p w14:paraId="1A64C4E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3.投资房地产、企业债、信托产品、非保本型理财产品、保险计划及其他金融衍生品；</w:t>
      </w:r>
    </w:p>
    <w:p w14:paraId="20644A1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4.向任何第三方提供赞助、捐赠（经批准的公益性捐赠除外）；</w:t>
      </w:r>
    </w:p>
    <w:p w14:paraId="053018C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5.吸收或变相吸收存款，或向第三方提供贷款和资金拆借（以股权投资为目的的可转债除外，但不得从事明股实债）；</w:t>
      </w:r>
    </w:p>
    <w:p w14:paraId="2DB47AF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6.以任何形式对外举债；</w:t>
      </w:r>
    </w:p>
    <w:p w14:paraId="7BC9D17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7.直接或者间接投资法律、行政法规和国家政策禁止投资的行业或领域；</w:t>
      </w:r>
    </w:p>
    <w:p w14:paraId="2706F53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8.直接或者间接投资于违反国家产业政策、环境保护政策的项目，包括但不限于以下情形：</w:t>
      </w:r>
    </w:p>
    <w:p w14:paraId="11C0129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1）投资项目被列入国家发展和改革委员会发布的淘汰类产业目录；</w:t>
      </w:r>
    </w:p>
    <w:p w14:paraId="0F79AA6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2）投资项目违反国家环境保护政策要求；</w:t>
      </w:r>
    </w:p>
    <w:p w14:paraId="45711BD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3）通过穿透核查，子基金最终投向上述投资项目；</w:t>
      </w:r>
    </w:p>
    <w:p w14:paraId="62B7678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9.发行信托或集合理财产品募集资金；</w:t>
      </w:r>
    </w:p>
    <w:p w14:paraId="1C303BC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10.其他国家法律法规及政策包括但不限于《私募投资基金监督管理条例》、《关于规</w:t>
      </w:r>
      <w:bookmarkStart w:id="0" w:name="_GoBack"/>
      <w:bookmarkEnd w:id="0"/>
      <w:r>
        <w:rPr>
          <w:rFonts w:hint="eastAsia" w:ascii="仿宋_GB2312" w:hAnsi="仿宋_GB2312" w:eastAsia="仿宋_GB2312" w:cs="仿宋_GB2312"/>
          <w:color w:val="auto"/>
          <w:sz w:val="32"/>
          <w:szCs w:val="32"/>
          <w:highlight w:val="none"/>
          <w:lang w:val="en-US" w:eastAsia="zh-CN"/>
        </w:rPr>
        <w:t>范金融机构资产管理业务的指导意见》（银发[2018]106号）、《关于进一步明确规范金融机构资产管理产品投资创业投资基金和政府出资产业投资基金有关事项的通知》（发改财金规〔2019〕1638号）、关于多层嵌套的强制性规定以及合伙协议禁止从事的其他事项。</w:t>
      </w:r>
    </w:p>
    <w:p w14:paraId="0AE1928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0"/>
          <w:rFonts w:hint="eastAsia" w:ascii="黑体" w:hAnsi="黑体" w:eastAsia="黑体" w:cs="黑体"/>
          <w:b w:val="0"/>
          <w:bCs/>
          <w:color w:val="auto"/>
          <w:sz w:val="32"/>
          <w:szCs w:val="32"/>
          <w:highlight w:val="none"/>
          <w:lang w:val="en-US" w:eastAsia="zh-CN"/>
        </w:rPr>
      </w:pPr>
      <w:r>
        <w:rPr>
          <w:rStyle w:val="10"/>
          <w:rFonts w:hint="eastAsia" w:ascii="黑体" w:hAnsi="黑体" w:eastAsia="黑体" w:cs="黑体"/>
          <w:b w:val="0"/>
          <w:bCs/>
          <w:color w:val="auto"/>
          <w:sz w:val="32"/>
          <w:szCs w:val="32"/>
          <w:highlight w:val="none"/>
          <w:lang w:val="en-US" w:eastAsia="zh-CN"/>
        </w:rPr>
        <w:t>四、投资专注度</w:t>
      </w:r>
    </w:p>
    <w:p w14:paraId="51D5F35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基金合伙协议或者公司章程应当对投资决策委员会和专职管理团队的核心人员进行锁定;锁定人员如发生变动或会触发关键人条款，且须经合伙人大会等基金相关权利机构表决通过，并报科创基金管理人备案。</w:t>
      </w:r>
    </w:p>
    <w:p w14:paraId="6E1D148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0"/>
          <w:rFonts w:hint="eastAsia" w:ascii="黑体" w:hAnsi="黑体" w:eastAsia="黑体" w:cs="黑体"/>
          <w:b w:val="0"/>
          <w:bCs/>
          <w:color w:val="auto"/>
          <w:sz w:val="32"/>
          <w:szCs w:val="32"/>
          <w:highlight w:val="none"/>
          <w:lang w:val="en-US" w:eastAsia="zh-CN"/>
        </w:rPr>
      </w:pPr>
      <w:r>
        <w:rPr>
          <w:rStyle w:val="10"/>
          <w:rFonts w:hint="eastAsia" w:ascii="黑体" w:hAnsi="黑体" w:eastAsia="黑体" w:cs="黑体"/>
          <w:b w:val="0"/>
          <w:bCs/>
          <w:color w:val="auto"/>
          <w:sz w:val="32"/>
          <w:szCs w:val="32"/>
          <w:highlight w:val="none"/>
          <w:lang w:val="en-US" w:eastAsia="zh-CN"/>
        </w:rPr>
        <w:t>五、信息披露</w:t>
      </w:r>
    </w:p>
    <w:p w14:paraId="28FAF90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金管理机构应当定期向科创基金管理人提交季度、年度运营报告、年度审计报告和季度及年度托管报告；应当建立重大事项披露制度，重大事项包括但不限于∶基金合伙协议修订、资本增减、高级管理人员变更、合并、清算等。</w:t>
      </w:r>
    </w:p>
    <w:p w14:paraId="0EC3347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0"/>
          <w:rFonts w:hint="eastAsia" w:ascii="黑体" w:hAnsi="黑体" w:eastAsia="黑体" w:cs="黑体"/>
          <w:b w:val="0"/>
          <w:bCs/>
          <w:color w:val="auto"/>
          <w:sz w:val="32"/>
          <w:szCs w:val="32"/>
          <w:highlight w:val="none"/>
          <w:lang w:val="en-US" w:eastAsia="zh-CN"/>
        </w:rPr>
      </w:pPr>
      <w:r>
        <w:rPr>
          <w:rStyle w:val="10"/>
          <w:rFonts w:hint="eastAsia" w:ascii="黑体" w:hAnsi="黑体" w:eastAsia="黑体" w:cs="黑体"/>
          <w:b w:val="0"/>
          <w:bCs/>
          <w:color w:val="auto"/>
          <w:sz w:val="32"/>
          <w:szCs w:val="32"/>
          <w:highlight w:val="none"/>
          <w:lang w:val="en-US" w:eastAsia="zh-CN"/>
        </w:rPr>
        <w:t>六、储备项目</w:t>
      </w:r>
    </w:p>
    <w:p w14:paraId="7C92E58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提高基金设立运作效率，基金申请机构或管理机构在申报时，应提供储备项目清单，储备项目拟投资金额不低于基金首期实缴出资50%，且招引或返投类储备项目拟投资金额不低于科创基金首期出资额，储备项目与基金投资策略和领域相匹配。</w:t>
      </w:r>
    </w:p>
    <w:p w14:paraId="6153A7E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0"/>
          <w:rFonts w:hint="eastAsia" w:ascii="黑体" w:hAnsi="黑体" w:eastAsia="黑体" w:cs="黑体"/>
          <w:b w:val="0"/>
          <w:bCs/>
          <w:color w:val="auto"/>
          <w:sz w:val="32"/>
          <w:szCs w:val="32"/>
          <w:highlight w:val="none"/>
          <w:lang w:val="en-US" w:eastAsia="zh-CN"/>
        </w:rPr>
      </w:pPr>
      <w:r>
        <w:rPr>
          <w:rStyle w:val="10"/>
          <w:rFonts w:hint="eastAsia" w:ascii="黑体" w:hAnsi="黑体" w:eastAsia="黑体" w:cs="黑体"/>
          <w:b w:val="0"/>
          <w:bCs/>
          <w:color w:val="auto"/>
          <w:sz w:val="32"/>
          <w:szCs w:val="32"/>
          <w:highlight w:val="none"/>
          <w:lang w:val="en-US" w:eastAsia="zh-CN"/>
        </w:rPr>
        <w:t>七、接受考核</w:t>
      </w:r>
    </w:p>
    <w:p w14:paraId="7A2CB78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管理人同意接受基金绩效评价考核。</w:t>
      </w:r>
    </w:p>
    <w:p w14:paraId="6C909E2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0"/>
          <w:rFonts w:hint="eastAsia" w:ascii="黑体" w:hAnsi="黑体" w:eastAsia="黑体" w:cs="黑体"/>
          <w:b w:val="0"/>
          <w:bCs/>
          <w:color w:val="auto"/>
          <w:sz w:val="32"/>
          <w:szCs w:val="32"/>
          <w:highlight w:val="none"/>
        </w:rPr>
      </w:pPr>
      <w:r>
        <w:rPr>
          <w:rStyle w:val="10"/>
          <w:rFonts w:hint="eastAsia" w:ascii="黑体" w:hAnsi="黑体" w:eastAsia="黑体" w:cs="黑体"/>
          <w:b w:val="0"/>
          <w:bCs/>
          <w:color w:val="auto"/>
          <w:sz w:val="32"/>
          <w:szCs w:val="32"/>
          <w:highlight w:val="none"/>
          <w:lang w:eastAsia="zh-CN"/>
        </w:rPr>
        <w:t>八</w:t>
      </w:r>
      <w:r>
        <w:rPr>
          <w:rStyle w:val="10"/>
          <w:rFonts w:hint="eastAsia" w:ascii="黑体" w:hAnsi="黑体" w:eastAsia="黑体" w:cs="黑体"/>
          <w:b w:val="0"/>
          <w:bCs/>
          <w:color w:val="auto"/>
          <w:sz w:val="32"/>
          <w:szCs w:val="32"/>
          <w:highlight w:val="none"/>
        </w:rPr>
        <w:t>、遴选程序</w:t>
      </w:r>
    </w:p>
    <w:p w14:paraId="4003B8D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3" w:firstLineChars="200"/>
        <w:jc w:val="both"/>
        <w:textAlignment w:val="auto"/>
        <w:rPr>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color w:val="auto"/>
          <w:sz w:val="32"/>
          <w:szCs w:val="32"/>
          <w:highlight w:val="none"/>
        </w:rPr>
        <w:t>（一）发布公告</w:t>
      </w:r>
    </w:p>
    <w:p w14:paraId="1B9D15B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公开发布遴选公告和申报指引；申请机构根据公告要求自行评估后提交申报材料。</w:t>
      </w:r>
    </w:p>
    <w:p w14:paraId="2BB1869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3" w:firstLineChars="200"/>
        <w:jc w:val="both"/>
        <w:textAlignment w:val="auto"/>
        <w:rPr>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color w:val="auto"/>
          <w:sz w:val="32"/>
          <w:szCs w:val="32"/>
          <w:highlight w:val="none"/>
        </w:rPr>
        <w:t>（二）材料初审</w:t>
      </w:r>
    </w:p>
    <w:p w14:paraId="4090D7F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对申报材料完整性、内容全面性、方案可行性等方面进行初步审核，排除不符合基本要求的申报方案，确定初选机构名单。</w:t>
      </w:r>
    </w:p>
    <w:p w14:paraId="145A488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3" w:firstLineChars="200"/>
        <w:jc w:val="both"/>
        <w:textAlignment w:val="auto"/>
        <w:rPr>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color w:val="auto"/>
          <w:sz w:val="32"/>
          <w:szCs w:val="32"/>
          <w:highlight w:val="none"/>
        </w:rPr>
        <w:t>（三）专家评审</w:t>
      </w:r>
    </w:p>
    <w:p w14:paraId="58CAC21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专家评审委员会组织评审专家集中全面审查管理机构申报材料，通过审核书面材料、申报机构现场问询等方式，进行综合性判断和评分，确定候选管理机构名单。</w:t>
      </w:r>
    </w:p>
    <w:p w14:paraId="6C60E90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3" w:firstLineChars="200"/>
        <w:jc w:val="both"/>
        <w:textAlignment w:val="auto"/>
        <w:rPr>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color w:val="auto"/>
          <w:sz w:val="32"/>
          <w:szCs w:val="32"/>
          <w:highlight w:val="none"/>
        </w:rPr>
        <w:t>（</w:t>
      </w:r>
      <w:r>
        <w:rPr>
          <w:rStyle w:val="10"/>
          <w:rFonts w:hint="eastAsia" w:ascii="仿宋_GB2312" w:hAnsi="仿宋_GB2312" w:eastAsia="仿宋_GB2312" w:cs="仿宋_GB2312"/>
          <w:color w:val="auto"/>
          <w:sz w:val="32"/>
          <w:szCs w:val="32"/>
          <w:highlight w:val="none"/>
          <w:lang w:eastAsia="zh-CN"/>
        </w:rPr>
        <w:t>四</w:t>
      </w:r>
      <w:r>
        <w:rPr>
          <w:rStyle w:val="10"/>
          <w:rFonts w:hint="eastAsia" w:ascii="仿宋_GB2312" w:hAnsi="仿宋_GB2312" w:eastAsia="仿宋_GB2312" w:cs="仿宋_GB2312"/>
          <w:color w:val="auto"/>
          <w:sz w:val="32"/>
          <w:szCs w:val="32"/>
          <w:highlight w:val="none"/>
        </w:rPr>
        <w:t>）结果公示</w:t>
      </w:r>
    </w:p>
    <w:p w14:paraId="32CABDC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遴选结果向社会公示不少于5个工作日。</w:t>
      </w:r>
    </w:p>
    <w:p w14:paraId="0509F911">
      <w:pPr>
        <w:keepNext w:val="0"/>
        <w:keepLines w:val="0"/>
        <w:pageBreakBefore w:val="0"/>
        <w:kinsoku/>
        <w:wordWrap/>
        <w:overflowPunct/>
        <w:topLinePunct w:val="0"/>
        <w:autoSpaceDE/>
        <w:autoSpaceDN/>
        <w:bidi w:val="0"/>
        <w:adjustRightInd/>
        <w:snapToGrid/>
        <w:spacing w:line="594" w:lineRule="exact"/>
        <w:textAlignment w:val="auto"/>
        <w:rPr>
          <w:rFonts w:hint="eastAsia" w:ascii="宋体" w:hAnsi="宋体" w:eastAsia="宋体" w:cs="宋体"/>
          <w:b/>
          <w:bCs/>
          <w:color w:val="auto"/>
          <w:sz w:val="24"/>
          <w:szCs w:val="24"/>
          <w:highlight w:val="none"/>
          <w:lang w:val="en-US" w:eastAsia="zh-CN"/>
        </w:rPr>
      </w:pPr>
    </w:p>
    <w:sectPr>
      <w:footerReference r:id="rId3" w:type="default"/>
      <w:pgSz w:w="11906" w:h="16838"/>
      <w:pgMar w:top="2098" w:right="1531" w:bottom="1985" w:left="1531" w:header="851" w:footer="113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560408-975C-4BE2-93A6-8BF6D5DF90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F417336-93D3-401B-9F9C-43DDEED3A4E2}"/>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C60BE956-3344-4F57-BD84-5C17CEEB9D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04DA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876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87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6EDDA">
                          <w:pPr>
                            <w:pStyle w:val="6"/>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1.95pt;mso-position-horizontal:center;mso-position-horizontal-relative:margin;z-index:251659264;mso-width-relative:page;mso-height-relative:page;" filled="f" stroked="f" coordsize="21600,21600" o:gfxdata="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LwBK3UAAAABAEAAA8AAAAAAAAAAQAgAAAAIgAAAGRycy9kb3ducmV2LnhtbFBL&#10;AQIUABQAAAAIAIdO4kDYOWpvMwIAAFYEAAAOAAAAAAAAAAEAIAAAACMBAABkcnMvZTJvRG9jLnht&#10;bFBLBQYAAAAABgAGAFkBAADIBQAAAAA=&#10;">
              <v:fill on="f" focussize="0,0"/>
              <v:stroke on="f" weight="0.5pt"/>
              <v:imagedata o:title=""/>
              <o:lock v:ext="edit" aspectratio="f"/>
              <v:textbox inset="0mm,0mm,0mm,0mm" style="mso-fit-shape-to-text:t;">
                <w:txbxContent>
                  <w:p w14:paraId="2606EDDA">
                    <w:pPr>
                      <w:pStyle w:val="6"/>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MDE2ODU2YTNhOWIwYzJlZGRlZTY5MTZiNWQ0NjMifQ=="/>
  </w:docVars>
  <w:rsids>
    <w:rsidRoot w:val="0C545DA3"/>
    <w:rsid w:val="03E150FB"/>
    <w:rsid w:val="05883C21"/>
    <w:rsid w:val="08F61D9D"/>
    <w:rsid w:val="0BA5556F"/>
    <w:rsid w:val="0C545DA3"/>
    <w:rsid w:val="18206829"/>
    <w:rsid w:val="19B948A5"/>
    <w:rsid w:val="2CA244DB"/>
    <w:rsid w:val="31824AC4"/>
    <w:rsid w:val="4EAB30DD"/>
    <w:rsid w:val="610760F7"/>
    <w:rsid w:val="6DFA3998"/>
    <w:rsid w:val="6F88204C"/>
    <w:rsid w:val="6FF72D5F"/>
    <w:rsid w:val="71037053"/>
    <w:rsid w:val="720F4039"/>
    <w:rsid w:val="73764099"/>
    <w:rsid w:val="7E7779E6"/>
    <w:rsid w:val="D77F9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afterLines="100" w:line="360" w:lineRule="exact"/>
      <w:ind w:firstLine="200" w:firstLineChars="200"/>
    </w:pPr>
    <w:rPr>
      <w:sz w:val="22"/>
      <w:szCs w:val="22"/>
    </w:rPr>
  </w:style>
  <w:style w:type="paragraph" w:styleId="4">
    <w:name w:val="annotation text"/>
    <w:basedOn w:val="1"/>
    <w:qFormat/>
    <w:uiPriority w:val="0"/>
    <w:pPr>
      <w:jc w:val="left"/>
    </w:pPr>
    <w:rPr>
      <w:rFonts w:ascii="Times New Roman" w:hAnsi="Times New Roman" w:eastAsia="宋体" w:cs="Times New Roman"/>
    </w:rPr>
  </w:style>
  <w:style w:type="paragraph" w:styleId="5">
    <w:name w:val="Plain Text"/>
    <w:qFormat/>
    <w:uiPriority w:val="0"/>
    <w:pPr>
      <w:widowControl w:val="0"/>
      <w:jc w:val="both"/>
    </w:pPr>
    <w:rPr>
      <w:rFonts w:ascii="Times New Roman" w:hAnsi="Courier New" w:eastAsia="仿宋_GB2312" w:cs="Times New Roman"/>
      <w:szCs w:val="21"/>
      <w:lang w:val="en-US" w:eastAsia="zh-CN" w:bidi="ar-SA"/>
    </w:rPr>
  </w:style>
  <w:style w:type="paragraph" w:styleId="6">
    <w:name w:val="footer"/>
    <w:basedOn w:val="1"/>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4321</Words>
  <Characters>4522</Characters>
  <Lines>0</Lines>
  <Paragraphs>0</Paragraphs>
  <TotalTime>5</TotalTime>
  <ScaleCrop>false</ScaleCrop>
  <LinksUpToDate>false</LinksUpToDate>
  <CharactersWithSpaces>4549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2025-03-06T13:13:00Z</dcterms:created>
  <dc:creator>周欣怡</dc:creator>
  <cp:lastModifiedBy>陈佳宜</cp:lastModifiedBy>
  <cp:lastPrinted>2025-05-19T16:05:00Z</cp:lastPrinted>
  <dcterms:modified xsi:type="dcterms:W3CDTF">2025-05-21T07:50:55Z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855AD8B856784743A102F6F56A5248FE_13</vt:lpwstr>
  </property>
  <property fmtid="{D5CDD505-2E9C-101B-9397-08002B2CF9AE}" pid="4" name="KSOTemplateDocerSaveRecord">
    <vt:lpwstr>eyJoZGlkIjoiNTYzYjg1MWY0OGZlNTdlYmY5MmMyNTk3YjRhOWMzYjEiLCJ1c2VySWQiOiIxNjQwMzIwNTgzIn0=</vt:lpwstr>
  </property>
</Properties>
</file>