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 w14:paraId="215B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资格审查委托书</w:t>
      </w:r>
    </w:p>
    <w:p w14:paraId="175F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 w14:paraId="586ED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报考《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</w:rPr>
        <w:t>庐陵新区2025年面向社会公开招聘社区工作者（专职网格员）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考试的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考生。因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原因无法前往指定地点进行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资格审查，特委托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说明与受托人之间的关系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携带相关资料，代表本人参加此次资格审查。对于相关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审查结论，本人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完全同意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认可。</w:t>
      </w:r>
    </w:p>
    <w:p w14:paraId="130D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7385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5AC61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委托人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521A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本人手写签名并按指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印）</w:t>
      </w:r>
    </w:p>
    <w:p w14:paraId="33ED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06FD5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1264" w:firstLineChars="4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日</w:t>
      </w:r>
    </w:p>
    <w:p w14:paraId="2521E0CB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7D7B"/>
    <w:rsid w:val="3F377D7B"/>
    <w:rsid w:val="7FF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2025-09-08T15:24:00Z</dcterms:created>
  <dc:creator>糊</dc:creator>
  <cp:lastModifiedBy>糊</cp:lastModifiedBy>
  <dcterms:modified xsi:type="dcterms:W3CDTF">2025-09-08T15:24:23Z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73F0216460F242239084BE6818AD2B72_41</vt:lpwstr>
  </property>
</Properties>
</file>