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1F3F1">
      <w:pPr>
        <w:spacing w:line="560" w:lineRule="exact"/>
        <w:rPr>
          <w:rFonts w:hint="eastAsia" w:ascii="Arial Unicode MS" w:hAnsi="Arial Unicode MS" w:eastAsia="Arial Unicode MS" w:cs="Arial Unicode MS"/>
          <w:b/>
          <w:bCs/>
          <w:color w:val="auto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附件1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：</w:t>
      </w:r>
    </w:p>
    <w:p w14:paraId="26C25E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江西新鸿人力资源服务有限公司</w:t>
      </w:r>
    </w:p>
    <w:p w14:paraId="59AF2F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面向社会招聘工作人员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6"/>
          <w:szCs w:val="36"/>
          <w:highlight w:val="none"/>
          <w:lang w:val="en-US" w:eastAsia="zh-CN" w:bidi="ar-SA"/>
        </w:rPr>
        <w:t>岗位及任职要求</w:t>
      </w:r>
    </w:p>
    <w:tbl>
      <w:tblPr>
        <w:tblStyle w:val="3"/>
        <w:tblpPr w:leftFromText="180" w:rightFromText="180" w:vertAnchor="text" w:horzAnchor="page" w:tblpX="1221" w:tblpY="554"/>
        <w:tblOverlap w:val="never"/>
        <w:tblW w:w="54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627"/>
        <w:gridCol w:w="6167"/>
      </w:tblGrid>
      <w:tr w14:paraId="1EF56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</w:trPr>
        <w:tc>
          <w:tcPr>
            <w:tcW w:w="826" w:type="pct"/>
            <w:noWrap w:val="0"/>
            <w:vAlign w:val="center"/>
          </w:tcPr>
          <w:p w14:paraId="19DAE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岗位</w:t>
            </w:r>
          </w:p>
        </w:tc>
        <w:tc>
          <w:tcPr>
            <w:tcW w:w="871" w:type="pct"/>
            <w:shd w:val="clear" w:color="auto" w:fill="auto"/>
            <w:noWrap w:val="0"/>
            <w:vAlign w:val="center"/>
          </w:tcPr>
          <w:p w14:paraId="4779D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需求人数</w:t>
            </w:r>
          </w:p>
        </w:tc>
        <w:tc>
          <w:tcPr>
            <w:tcW w:w="3302" w:type="pct"/>
            <w:shd w:val="clear" w:color="auto" w:fill="auto"/>
            <w:noWrap w:val="0"/>
            <w:vAlign w:val="center"/>
          </w:tcPr>
          <w:p w14:paraId="569F3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任职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条件</w:t>
            </w:r>
          </w:p>
        </w:tc>
      </w:tr>
      <w:tr w14:paraId="0567F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6" w:hRule="atLeast"/>
        </w:trPr>
        <w:tc>
          <w:tcPr>
            <w:tcW w:w="826" w:type="pct"/>
            <w:shd w:val="clear" w:color="auto" w:fill="auto"/>
            <w:noWrap w:val="0"/>
            <w:vAlign w:val="center"/>
          </w:tcPr>
          <w:p w14:paraId="4A0E1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客服专员</w:t>
            </w:r>
          </w:p>
        </w:tc>
        <w:tc>
          <w:tcPr>
            <w:tcW w:w="871" w:type="pct"/>
            <w:shd w:val="clear" w:color="auto" w:fill="auto"/>
            <w:noWrap w:val="0"/>
            <w:vAlign w:val="center"/>
          </w:tcPr>
          <w:p w14:paraId="4AC719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3302" w:type="pct"/>
            <w:shd w:val="clear" w:color="auto" w:fill="auto"/>
            <w:noWrap w:val="0"/>
            <w:vAlign w:val="center"/>
          </w:tcPr>
          <w:p w14:paraId="345482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1.本科及以上学历（取得对应学位证书），人力资源管理（120206）、工商管理（120201K）、劳动与社会保障（120403）、劳动关系（120211T）、会计学（120203K）、财务管理（120204）专业；</w:t>
            </w:r>
          </w:p>
          <w:p w14:paraId="423137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2.30周岁及以下；</w:t>
            </w:r>
          </w:p>
          <w:p w14:paraId="52D6C8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3.具有1年及以上招聘、招考或薪资核算发放等人事相关工作经验，能对接答疑，处理人事客服工作。具有人力资源公司派遣外包项目经验优先；</w:t>
            </w:r>
          </w:p>
          <w:p w14:paraId="7D4AD2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4.具备良好的沟通表达和抗压能力，细心严谨具备团队合作精神。</w:t>
            </w:r>
          </w:p>
        </w:tc>
      </w:tr>
    </w:tbl>
    <w:p w14:paraId="527B842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 w:bidi="ar-SA"/>
        </w:rPr>
      </w:pPr>
    </w:p>
    <w:p w14:paraId="66E583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4596D"/>
    <w:rsid w:val="7BA4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2026-06-26T07:43:00Z</dcterms:created>
  <dc:creator>Sleeping</dc:creator>
  <cp:lastModifiedBy>Sleeping</cp:lastModifiedBy>
  <dcterms:modified xsi:type="dcterms:W3CDTF">2026-06-26T07:43:41Z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7720AD364E344FCCA90DDF62D62ED7DD_11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