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BBBC0">
      <w:pPr>
        <w:spacing w:line="550" w:lineRule="exact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附件1：</w:t>
      </w:r>
    </w:p>
    <w:p w14:paraId="3BA96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  <w:t>江西省中小学教师招聘岗位专业要求参照</w:t>
      </w:r>
    </w:p>
    <w:p w14:paraId="733AA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  <w:t>目录</w:t>
      </w:r>
    </w:p>
    <w:p w14:paraId="7ED0F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cs="Times New Roman"/>
          <w:color w:val="auto"/>
          <w:spacing w:val="0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</w:rPr>
        <w:t>202</w:t>
      </w: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</w:rPr>
        <w:t>年修订</w:t>
      </w: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  <w:lang w:eastAsia="zh-CN"/>
        </w:rPr>
        <w:t>）</w:t>
      </w:r>
    </w:p>
    <w:p w14:paraId="39942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eastAsia="黑体"/>
          <w:color w:val="auto"/>
          <w:sz w:val="32"/>
          <w:szCs w:val="32"/>
        </w:rPr>
      </w:pPr>
    </w:p>
    <w:p w14:paraId="7429C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both"/>
        <w:textAlignment w:val="auto"/>
        <w:rPr>
          <w:rFonts w:hint="eastAsia" w:ascii="黑体" w:eastAsia="黑体"/>
          <w:color w:val="auto"/>
          <w:spacing w:val="-6"/>
          <w:sz w:val="32"/>
          <w:szCs w:val="32"/>
        </w:rPr>
      </w:pPr>
      <w:r>
        <w:rPr>
          <w:rFonts w:hint="eastAsia" w:ascii="黑体" w:eastAsia="黑体"/>
          <w:color w:val="auto"/>
          <w:spacing w:val="-6"/>
          <w:sz w:val="32"/>
          <w:szCs w:val="32"/>
        </w:rPr>
        <w:t>说明：</w:t>
      </w:r>
    </w:p>
    <w:p w14:paraId="425575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16" w:firstLineChars="200"/>
        <w:jc w:val="left"/>
        <w:textAlignment w:val="auto"/>
        <w:rPr>
          <w:rFonts w:hint="eastAsia" w:ascii="仿宋_GB2312" w:eastAsia="仿宋_GB2312"/>
          <w:color w:val="auto"/>
          <w:spacing w:val="-6"/>
          <w:sz w:val="32"/>
          <w:szCs w:val="32"/>
        </w:rPr>
      </w:pPr>
      <w:r>
        <w:rPr>
          <w:rFonts w:hint="eastAsia" w:ascii="仿宋_GB2312" w:eastAsia="仿宋_GB2312"/>
          <w:color w:val="auto"/>
          <w:spacing w:val="-6"/>
          <w:sz w:val="32"/>
          <w:szCs w:val="32"/>
        </w:rPr>
        <w:t>本目录中的专业来源于教育部制定的专业目录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br w:type="textWrapping"/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t xml:space="preserve">    二、本目录中的分类是按照中小学教师招聘岗位需要进行归类的，与教育学科分类没有直接对应关系。</w:t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br w:type="textWrapping"/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t xml:space="preserve">    三、本目录仅适用于全省中小学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lang w:eastAsia="zh-CN"/>
        </w:rPr>
        <w:t>教师统一</w:t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t>招聘，考生应参照此目录进行报考。</w:t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br w:type="textWrapping"/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t xml:space="preserve">    四、研究生、本科学历的小学教育专业（代码分别为：045115、040107）报考对应学历（及以下）层次要求的小学阶段任一学科（特殊教育除外）岗位，均符合专业要求。</w:t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br w:type="textWrapping"/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t xml:space="preserve">    五、研究生学历的教育学专业（代码：0401）、教育经济与管理专业（代码：120403）、教育管理专业（代码：045101），本科学历的教育学专业（代码：040101），如取得与报考岗位相同学科的教师资格证，均符合专业要求。</w:t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br w:type="textWrapping"/>
      </w:r>
    </w:p>
    <w:p w14:paraId="101E8F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</w:p>
    <w:p w14:paraId="15D726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</w:p>
    <w:p w14:paraId="5F316C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</w:p>
    <w:p w14:paraId="2EF3E8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</w:p>
    <w:p w14:paraId="4E61EF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</w:p>
    <w:p w14:paraId="16179B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</w:p>
    <w:p w14:paraId="6CA176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  <w:t>江西省中小学教师招聘岗位专业要求</w:t>
      </w:r>
    </w:p>
    <w:p w14:paraId="01E3BB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lang w:eastAsia="zh-CN"/>
        </w:rPr>
      </w:pP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  <w:t>参照目录</w:t>
      </w: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lang w:eastAsia="zh-CN"/>
        </w:rPr>
        <w:t>一览表</w:t>
      </w:r>
    </w:p>
    <w:tbl>
      <w:tblPr>
        <w:tblStyle w:val="4"/>
        <w:tblpPr w:leftFromText="180" w:rightFromText="180" w:vertAnchor="text" w:horzAnchor="page" w:tblpX="1531" w:tblpY="266"/>
        <w:tblOverlap w:val="never"/>
        <w:tblW w:w="9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57" w:type="dxa"/>
          <w:bottom w:w="15" w:type="dxa"/>
          <w:right w:w="57" w:type="dxa"/>
        </w:tblCellMar>
      </w:tblPr>
      <w:tblGrid>
        <w:gridCol w:w="898"/>
        <w:gridCol w:w="4318"/>
        <w:gridCol w:w="4463"/>
      </w:tblGrid>
      <w:tr w14:paraId="514BD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346" w:hRule="atLeast"/>
          <w:tblHeader/>
          <w:jc w:val="center"/>
        </w:trPr>
        <w:tc>
          <w:tcPr>
            <w:tcW w:w="898" w:type="dxa"/>
            <w:vMerge w:val="restart"/>
            <w:vAlign w:val="center"/>
          </w:tcPr>
          <w:p w14:paraId="612E028F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Cs w:val="21"/>
              </w:rPr>
              <w:t>招聘</w:t>
            </w:r>
          </w:p>
          <w:p w14:paraId="0EE68ABB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Cs w:val="21"/>
              </w:rPr>
              <w:t>岗位</w:t>
            </w:r>
          </w:p>
          <w:p w14:paraId="79DB1987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Cs w:val="21"/>
              </w:rPr>
              <w:t>类别</w:t>
            </w:r>
          </w:p>
        </w:tc>
        <w:tc>
          <w:tcPr>
            <w:tcW w:w="8781" w:type="dxa"/>
            <w:gridSpan w:val="2"/>
            <w:vAlign w:val="center"/>
          </w:tcPr>
          <w:p w14:paraId="26DB542E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Cs w:val="21"/>
                <w:lang w:eastAsia="zh-CN"/>
              </w:rPr>
              <w:tab/>
            </w:r>
            <w:r>
              <w:rPr>
                <w:rFonts w:hint="eastAsia" w:ascii="黑体" w:hAnsi="黑体" w:eastAsia="黑体"/>
                <w:color w:val="auto"/>
                <w:szCs w:val="21"/>
              </w:rPr>
              <w:t>相关专业目录</w:t>
            </w:r>
            <w:r>
              <w:rPr>
                <w:rFonts w:hint="eastAsia" w:ascii="黑体" w:hAnsi="黑体" w:eastAsia="黑体"/>
                <w:color w:val="auto"/>
                <w:szCs w:val="21"/>
                <w:lang w:eastAsia="zh-CN"/>
              </w:rPr>
              <w:tab/>
            </w:r>
          </w:p>
        </w:tc>
      </w:tr>
      <w:tr w14:paraId="46733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575" w:hRule="atLeast"/>
          <w:tblHeader/>
          <w:jc w:val="center"/>
        </w:trPr>
        <w:tc>
          <w:tcPr>
            <w:tcW w:w="898" w:type="dxa"/>
            <w:vMerge w:val="continue"/>
            <w:vAlign w:val="center"/>
          </w:tcPr>
          <w:p w14:paraId="0C2BE692">
            <w:pPr>
              <w:rPr>
                <w:rFonts w:hint="eastAsia" w:ascii="黑体" w:hAnsi="黑体" w:eastAsia="黑体"/>
                <w:color w:val="auto"/>
                <w:szCs w:val="21"/>
              </w:rPr>
            </w:pPr>
          </w:p>
        </w:tc>
        <w:tc>
          <w:tcPr>
            <w:tcW w:w="4318" w:type="dxa"/>
            <w:vAlign w:val="center"/>
          </w:tcPr>
          <w:p w14:paraId="28D28C6E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Cs w:val="21"/>
              </w:rPr>
              <w:t>研究生专业</w:t>
            </w:r>
          </w:p>
        </w:tc>
        <w:tc>
          <w:tcPr>
            <w:tcW w:w="4463" w:type="dxa"/>
            <w:vAlign w:val="center"/>
          </w:tcPr>
          <w:p w14:paraId="5AE87DC2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Cs w:val="21"/>
              </w:rPr>
              <w:t>本科专业</w:t>
            </w:r>
          </w:p>
        </w:tc>
      </w:tr>
      <w:tr w14:paraId="77451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548" w:hRule="atLeast"/>
          <w:jc w:val="center"/>
        </w:trPr>
        <w:tc>
          <w:tcPr>
            <w:tcW w:w="898" w:type="dxa"/>
            <w:vAlign w:val="center"/>
          </w:tcPr>
          <w:p w14:paraId="038E8319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17.幼儿园教师</w:t>
            </w:r>
          </w:p>
        </w:tc>
        <w:tc>
          <w:tcPr>
            <w:tcW w:w="4318" w:type="dxa"/>
            <w:vAlign w:val="center"/>
          </w:tcPr>
          <w:p w14:paraId="49A5BB47">
            <w:pPr>
              <w:spacing w:line="280" w:lineRule="exact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040105学前教育学，0403体育学，045108学科教学(英语)，045111学科教学(音乐)，045112学科教学(体育)，045113学科教学(美术)，045118学前教育，0452体育，050201英语语言文学，050211外国语言学及应用语言学，055101英语笔译，055102英语口译</w:t>
            </w: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13艺术学</w:t>
            </w:r>
          </w:p>
        </w:tc>
        <w:tc>
          <w:tcPr>
            <w:tcW w:w="4463" w:type="dxa"/>
            <w:vAlign w:val="center"/>
          </w:tcPr>
          <w:p w14:paraId="64894DD7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本科：040105艺术教育，040106学前教育，0402体育学类，050201英语，050261翻译，050262商务英语,1302音乐与舞蹈学类，130301表演，130302戏剧学，130310动画，1304美术学类，1305设计学类</w:t>
            </w:r>
          </w:p>
          <w:p w14:paraId="625690C0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职教本科：320802婴幼儿发展与健康管理，3501艺术设计类，3502表演艺术类，360206数字动画，370101学前教育，370201应用英语,3703体育类</w:t>
            </w:r>
          </w:p>
        </w:tc>
      </w:tr>
    </w:tbl>
    <w:p w14:paraId="487244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lang w:eastAsia="zh-CN"/>
        </w:rPr>
      </w:pPr>
    </w:p>
    <w:p w14:paraId="18E7DA35">
      <w:pPr>
        <w:bidi w:val="0"/>
        <w:jc w:val="both"/>
        <w:rPr>
          <w:rFonts w:hint="eastAsia"/>
          <w:color w:val="auto"/>
          <w:kern w:val="2"/>
          <w:sz w:val="21"/>
          <w:szCs w:val="24"/>
          <w:lang w:val="en-US" w:eastAsia="zh-CN" w:bidi="ar-SA"/>
        </w:rPr>
      </w:pPr>
    </w:p>
    <w:p w14:paraId="0BE019F1">
      <w:pPr>
        <w:spacing w:line="55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1191" w:gutter="0"/>
          <w:cols w:space="0" w:num="1"/>
          <w:rtlGutter w:val="0"/>
          <w:docGrid w:type="lines" w:linePitch="317" w:charSpace="0"/>
        </w:sectPr>
      </w:pPr>
    </w:p>
    <w:p w14:paraId="1BF0C6DB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39928">
    <w:pPr>
      <w:pStyle w:val="2"/>
      <w:wordWrap w:val="0"/>
      <w:jc w:val="center"/>
      <w:rPr>
        <w:rFonts w:hint="eastAsia" w:ascii="宋体" w:hAnsi="宋体" w:cs="宋体"/>
        <w:color w:val="FFFFFF"/>
        <w:sz w:val="28"/>
        <w:szCs w:val="28"/>
      </w:rPr>
    </w:pPr>
  </w:p>
  <w:p w14:paraId="4B6B3012">
    <w:pPr>
      <w:pStyle w:val="2"/>
      <w:wordWrap w:val="0"/>
      <w:jc w:val="center"/>
      <w:rPr>
        <w:rFonts w:ascii="宋体"/>
        <w:sz w:val="28"/>
        <w:szCs w:val="28"/>
      </w:rPr>
    </w:pPr>
    <w:r>
      <w:rPr>
        <w:rFonts w:hint="eastAsia" w:ascii="宋体" w:hAnsi="宋体" w:cs="宋体"/>
        <w:color w:val="FFFFFF"/>
        <w:sz w:val="28"/>
        <w:szCs w:val="28"/>
      </w:rPr>
      <w:t>——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27F18">
    <w:pPr>
      <w:pStyle w:val="2"/>
      <w:wordWrap w:val="0"/>
      <w:jc w:val="center"/>
      <w:rPr>
        <w:rFonts w:hint="eastAsia" w:ascii="宋体" w:hAnsi="宋体" w:cs="宋体"/>
        <w:color w:val="FFFFFF"/>
        <w:sz w:val="28"/>
        <w:szCs w:val="28"/>
      </w:rPr>
    </w:pPr>
  </w:p>
  <w:p w14:paraId="41EBE6E8">
    <w:pPr>
      <w:pStyle w:val="2"/>
      <w:wordWrap w:val="0"/>
      <w:jc w:val="center"/>
      <w:rPr>
        <w:rFonts w:ascii="宋体"/>
        <w:sz w:val="28"/>
        <w:szCs w:val="28"/>
      </w:rPr>
    </w:pPr>
    <w:r>
      <w:rPr>
        <w:rFonts w:hint="eastAsia" w:ascii="宋体" w:hAnsi="宋体" w:cs="宋体"/>
        <w:color w:val="FFFFFF"/>
        <w:sz w:val="28"/>
        <w:szCs w:val="28"/>
      </w:rPr>
      <w:t>——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97836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2AA0A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760EC5"/>
    <w:multiLevelType w:val="singleLevel"/>
    <w:tmpl w:val="BE760EC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4731D"/>
    <w:rsid w:val="0CE4731D"/>
    <w:rsid w:val="4B4B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宋体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2"/>
      <w:sz w:val="18"/>
      <w:lang w:val="en-US" w:eastAsia="zh-CN"/>
    </w:rPr>
  </w:style>
  <w:style w:type="paragraph" w:styleId="3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rFonts w:ascii="Times New Roman" w:hAnsi="Times New Roman" w:eastAsia="宋体"/>
      <w:kern w:val="2"/>
      <w:sz w:val="1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2026-08-10T06:19:00Z</dcterms:created>
  <dc:creator>Sleeping</dc:creator>
  <cp:lastModifiedBy>Sleeping</cp:lastModifiedBy>
  <dcterms:modified xsi:type="dcterms:W3CDTF">2026-08-10T08:04:34Z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1B29AD184F6E4DF88BF30753FBE7F01A_11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